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C5" w:rsidRDefault="00CC0BC5" w:rsidP="00CC0BC5">
      <w:pPr>
        <w:rPr>
          <w:rFonts w:eastAsia="Times New Roman" w:cstheme="minorHAnsi"/>
          <w:b/>
          <w:sz w:val="23"/>
          <w:szCs w:val="23"/>
        </w:rPr>
      </w:pPr>
      <w:r>
        <w:rPr>
          <w:rFonts w:eastAsia="Times New Roman" w:cstheme="minorHAnsi"/>
          <w:b/>
          <w:sz w:val="23"/>
          <w:szCs w:val="23"/>
        </w:rPr>
        <w:t xml:space="preserve">Page 123-130 (stop before starting first new paragraph on the page) </w:t>
      </w:r>
    </w:p>
    <w:p w:rsidR="00CC0BC5" w:rsidRDefault="00CC0BC5" w:rsidP="00CC0BC5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What is the difference between Marlow’s motivation and the harlequin? Why is Marlow so surprised by this character?</w:t>
      </w:r>
    </w:p>
    <w:p w:rsidR="00CC0BC5" w:rsidRDefault="00CC0BC5" w:rsidP="00CC0BC5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According to Kurtz’s companion, how is Kurtz acquiring all the ivory? </w:t>
      </w:r>
    </w:p>
    <w:p w:rsidR="00CC0BC5" w:rsidRDefault="00CC0BC5" w:rsidP="00CC0BC5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What is on the fence posts outside of Kurtz’s “residence”? What do these “items” imply about “trade secrets”/ “Mr. Kurtz’s methods”?</w:t>
      </w:r>
    </w:p>
    <w:p w:rsidR="00CC0BC5" w:rsidRDefault="00CC0BC5" w:rsidP="00CC0BC5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role did the wilderness play in Kurtz’s demise? </w:t>
      </w:r>
    </w:p>
    <w:p w:rsidR="00937393" w:rsidRDefault="00937393" w:rsidP="00CC0BC5">
      <w:pPr>
        <w:pStyle w:val="NoSpacing"/>
      </w:pPr>
      <w:bookmarkStart w:id="0" w:name="_GoBack"/>
      <w:bookmarkEnd w:id="0"/>
    </w:p>
    <w:sectPr w:rsidR="0093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7506"/>
    <w:multiLevelType w:val="hybridMultilevel"/>
    <w:tmpl w:val="3C7C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C5"/>
    <w:rsid w:val="006958E0"/>
    <w:rsid w:val="00937393"/>
    <w:rsid w:val="00C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0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2017-03-02T14:35:00Z</dcterms:created>
  <dcterms:modified xsi:type="dcterms:W3CDTF">2017-03-02T14:35:00Z</dcterms:modified>
</cp:coreProperties>
</file>